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72D7D084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309EF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1309EF">
        <w:rPr>
          <w:rFonts w:ascii="Times New Roman" w:eastAsia="Times New Roman" w:hAnsi="Times New Roman" w:cs="Times New Roman"/>
          <w:lang w:eastAsia="hr-HR"/>
        </w:rPr>
        <w:t>03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176E87DA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3713A9">
        <w:rPr>
          <w:rFonts w:ascii="Times New Roman" w:eastAsia="Times New Roman" w:hAnsi="Times New Roman" w:cs="Times New Roman"/>
          <w:lang w:eastAsia="hr-HR"/>
        </w:rPr>
        <w:t>28.12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753C35CA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</w:t>
      </w:r>
      <w:r w:rsidRPr="001309EF">
        <w:rPr>
          <w:rFonts w:ascii="Times New Roman" w:eastAsia="Times New Roman" w:hAnsi="Times New Roman" w:cs="Times New Roman"/>
          <w:lang w:eastAsia="hr-HR"/>
        </w:rPr>
        <w:t>vijeća (KLASA:601-0</w:t>
      </w:r>
      <w:r w:rsidR="001A2B36" w:rsidRPr="001309EF">
        <w:rPr>
          <w:rFonts w:ascii="Times New Roman" w:eastAsia="Times New Roman" w:hAnsi="Times New Roman" w:cs="Times New Roman"/>
          <w:lang w:eastAsia="hr-HR"/>
        </w:rPr>
        <w:t>4</w:t>
      </w:r>
      <w:r w:rsidRPr="001309EF">
        <w:rPr>
          <w:rFonts w:ascii="Times New Roman" w:eastAsia="Times New Roman" w:hAnsi="Times New Roman" w:cs="Times New Roman"/>
          <w:lang w:eastAsia="hr-HR"/>
        </w:rPr>
        <w:t>/</w:t>
      </w:r>
      <w:r w:rsidR="001309EF" w:rsidRPr="001309EF">
        <w:rPr>
          <w:rFonts w:ascii="Times New Roman" w:eastAsia="Times New Roman" w:hAnsi="Times New Roman" w:cs="Times New Roman"/>
          <w:lang w:eastAsia="hr-HR"/>
        </w:rPr>
        <w:t>23</w:t>
      </w:r>
      <w:r w:rsidR="001A2B36" w:rsidRPr="001309EF">
        <w:rPr>
          <w:rFonts w:ascii="Times New Roman" w:eastAsia="Times New Roman" w:hAnsi="Times New Roman" w:cs="Times New Roman"/>
          <w:lang w:eastAsia="hr-HR"/>
        </w:rPr>
        <w:t>-1</w:t>
      </w:r>
      <w:r w:rsidR="00F63F90" w:rsidRPr="001309EF">
        <w:rPr>
          <w:rFonts w:ascii="Times New Roman" w:eastAsia="Times New Roman" w:hAnsi="Times New Roman" w:cs="Times New Roman"/>
          <w:lang w:eastAsia="hr-HR"/>
        </w:rPr>
        <w:t>1</w:t>
      </w:r>
      <w:r w:rsidRPr="001309EF">
        <w:rPr>
          <w:rFonts w:ascii="Times New Roman" w:eastAsia="Times New Roman" w:hAnsi="Times New Roman" w:cs="Times New Roman"/>
          <w:lang w:eastAsia="hr-HR"/>
        </w:rPr>
        <w:t>/</w:t>
      </w:r>
      <w:r w:rsidR="003713A9">
        <w:rPr>
          <w:rFonts w:ascii="Times New Roman" w:eastAsia="Times New Roman" w:hAnsi="Times New Roman" w:cs="Times New Roman"/>
          <w:lang w:eastAsia="hr-HR"/>
        </w:rPr>
        <w:t>30</w:t>
      </w:r>
      <w:r w:rsidRPr="001309EF">
        <w:rPr>
          <w:rFonts w:ascii="Times New Roman" w:eastAsia="Times New Roman" w:hAnsi="Times New Roman" w:cs="Times New Roman"/>
          <w:lang w:eastAsia="hr-HR"/>
        </w:rPr>
        <w:t>, URBROJ:2113-27-</w:t>
      </w:r>
      <w:r w:rsidR="001309EF" w:rsidRPr="001309EF">
        <w:rPr>
          <w:rFonts w:ascii="Times New Roman" w:eastAsia="Times New Roman" w:hAnsi="Times New Roman" w:cs="Times New Roman"/>
          <w:lang w:eastAsia="hr-HR"/>
        </w:rPr>
        <w:t>23</w:t>
      </w:r>
      <w:r w:rsidRPr="001309EF">
        <w:rPr>
          <w:rFonts w:ascii="Times New Roman" w:eastAsia="Times New Roman" w:hAnsi="Times New Roman" w:cs="Times New Roman"/>
          <w:lang w:eastAsia="hr-HR"/>
        </w:rPr>
        <w:t>-</w:t>
      </w:r>
      <w:r w:rsidR="00F63F90" w:rsidRPr="001309EF">
        <w:rPr>
          <w:rFonts w:ascii="Times New Roman" w:eastAsia="Times New Roman" w:hAnsi="Times New Roman" w:cs="Times New Roman"/>
          <w:lang w:eastAsia="hr-HR"/>
        </w:rPr>
        <w:t>1</w:t>
      </w:r>
      <w:r w:rsidRPr="001309EF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1309EF">
        <w:rPr>
          <w:rFonts w:ascii="Times New Roman" w:eastAsia="Times New Roman" w:hAnsi="Times New Roman" w:cs="Times New Roman"/>
          <w:lang w:eastAsia="hr-HR"/>
        </w:rPr>
        <w:t xml:space="preserve"> </w:t>
      </w:r>
      <w:r w:rsidR="003713A9">
        <w:rPr>
          <w:rFonts w:ascii="Times New Roman" w:eastAsia="Times New Roman" w:hAnsi="Times New Roman" w:cs="Times New Roman"/>
          <w:lang w:eastAsia="hr-HR"/>
        </w:rPr>
        <w:t>28.12</w:t>
      </w:r>
      <w:r w:rsidR="002D2293" w:rsidRPr="001309EF">
        <w:rPr>
          <w:rFonts w:ascii="Times New Roman" w:eastAsia="Times New Roman" w:hAnsi="Times New Roman" w:cs="Times New Roman"/>
          <w:lang w:eastAsia="hr-HR"/>
        </w:rPr>
        <w:t>.2023</w:t>
      </w:r>
      <w:r w:rsidRPr="001309EF">
        <w:rPr>
          <w:rFonts w:ascii="Times New Roman" w:eastAsia="Times New Roman" w:hAnsi="Times New Roman" w:cs="Times New Roman"/>
          <w:lang w:eastAsia="hr-HR"/>
        </w:rPr>
        <w:t>.) Upravno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DB5E794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D82CD7">
        <w:rPr>
          <w:rFonts w:ascii="Times New Roman" w:hAnsi="Times New Roman" w:cs="Times New Roman"/>
          <w:b/>
          <w:sz w:val="24"/>
          <w:szCs w:val="24"/>
        </w:rPr>
        <w:t>pomoćnika za djecu s teškoćama u razvoju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856CB79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CD7">
        <w:rPr>
          <w:rFonts w:ascii="Times New Roman" w:hAnsi="Times New Roman" w:cs="Times New Roman"/>
          <w:sz w:val="24"/>
          <w:szCs w:val="24"/>
        </w:rPr>
        <w:t>pomoćnika za djecu s teškoćama u razvoju u odgojno-obrazovnoj skupini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D82CD7">
        <w:rPr>
          <w:rFonts w:ascii="Times New Roman" w:hAnsi="Times New Roman" w:cs="Times New Roman"/>
          <w:sz w:val="24"/>
          <w:szCs w:val="24"/>
        </w:rPr>
        <w:t xml:space="preserve">na određeno,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30461BB9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>čl. 24.</w:t>
      </w:r>
      <w:r w:rsidR="00D82CD7">
        <w:rPr>
          <w:rFonts w:ascii="Times New Roman" w:hAnsi="Times New Roman" w:cs="Times New Roman"/>
          <w:sz w:val="24"/>
          <w:szCs w:val="24"/>
        </w:rPr>
        <w:t>a.</w:t>
      </w:r>
      <w:r w:rsidR="00DA04B0">
        <w:rPr>
          <w:rFonts w:ascii="Times New Roman" w:hAnsi="Times New Roman" w:cs="Times New Roman"/>
          <w:sz w:val="24"/>
          <w:szCs w:val="24"/>
        </w:rPr>
        <w:t xml:space="preserve">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3F784D19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D82CD7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2D9A1C02" w14:textId="77777777" w:rsidR="00D82CD7" w:rsidRPr="00ED5C09" w:rsidRDefault="00D82CD7" w:rsidP="00D82CD7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60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E2FDE55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3713A9">
        <w:rPr>
          <w:rFonts w:ascii="Times New Roman" w:hAnsi="Times New Roman" w:cs="Times New Roman"/>
          <w:sz w:val="24"/>
          <w:szCs w:val="24"/>
        </w:rPr>
        <w:t>28.12</w:t>
      </w:r>
      <w:r w:rsidR="00B11474" w:rsidRPr="005F7C66">
        <w:rPr>
          <w:rFonts w:ascii="Times New Roman" w:hAnsi="Times New Roman" w:cs="Times New Roman"/>
          <w:sz w:val="24"/>
          <w:szCs w:val="24"/>
        </w:rPr>
        <w:t>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3713A9">
        <w:rPr>
          <w:rFonts w:ascii="Times New Roman" w:hAnsi="Times New Roman" w:cs="Times New Roman"/>
          <w:sz w:val="24"/>
          <w:szCs w:val="24"/>
        </w:rPr>
        <w:t>05.01.2024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57701" w14:textId="77777777" w:rsidR="003713A9" w:rsidRPr="005527DC" w:rsidRDefault="003713A9" w:rsidP="003713A9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6AA329D1" w14:textId="77777777" w:rsidR="003713A9" w:rsidRPr="005527DC" w:rsidRDefault="003713A9" w:rsidP="003713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10882992" w14:textId="77777777" w:rsidR="003713A9" w:rsidRPr="005527DC" w:rsidRDefault="003713A9" w:rsidP="003713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52AF7611" w14:textId="77777777" w:rsidR="003713A9" w:rsidRPr="005527DC" w:rsidRDefault="003713A9" w:rsidP="003713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7D55441F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82CD7">
        <w:rPr>
          <w:rFonts w:ascii="Times New Roman" w:hAnsi="Times New Roman" w:cs="Times New Roman"/>
          <w:b/>
          <w:bCs/>
          <w:sz w:val="24"/>
          <w:szCs w:val="24"/>
        </w:rPr>
        <w:t>pomoćnik za djecu s teškoćama u razvoju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7C87" w14:textId="77777777" w:rsidR="006C5111" w:rsidRDefault="006C5111" w:rsidP="008A10E2">
      <w:pPr>
        <w:spacing w:after="0" w:line="240" w:lineRule="auto"/>
      </w:pPr>
      <w:r>
        <w:separator/>
      </w:r>
    </w:p>
  </w:endnote>
  <w:endnote w:type="continuationSeparator" w:id="0">
    <w:p w14:paraId="2B342FE9" w14:textId="77777777" w:rsidR="006C5111" w:rsidRDefault="006C5111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36C4" w14:textId="77777777" w:rsidR="006C5111" w:rsidRDefault="006C5111" w:rsidP="008A10E2">
      <w:pPr>
        <w:spacing w:after="0" w:line="240" w:lineRule="auto"/>
      </w:pPr>
      <w:r>
        <w:separator/>
      </w:r>
    </w:p>
  </w:footnote>
  <w:footnote w:type="continuationSeparator" w:id="0">
    <w:p w14:paraId="0307C35B" w14:textId="77777777" w:rsidR="006C5111" w:rsidRDefault="006C5111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3609"/>
    <w:rsid w:val="00072812"/>
    <w:rsid w:val="00073E42"/>
    <w:rsid w:val="00095BE9"/>
    <w:rsid w:val="00096A40"/>
    <w:rsid w:val="000B0AEF"/>
    <w:rsid w:val="000C1938"/>
    <w:rsid w:val="00100F44"/>
    <w:rsid w:val="001309EF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29FF"/>
    <w:rsid w:val="002A5162"/>
    <w:rsid w:val="002B2FD6"/>
    <w:rsid w:val="002B7439"/>
    <w:rsid w:val="002D2293"/>
    <w:rsid w:val="002F7FE2"/>
    <w:rsid w:val="00340620"/>
    <w:rsid w:val="003713A9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5103B6"/>
    <w:rsid w:val="005B1C84"/>
    <w:rsid w:val="005C4305"/>
    <w:rsid w:val="005E4F47"/>
    <w:rsid w:val="005F7C66"/>
    <w:rsid w:val="00614C8E"/>
    <w:rsid w:val="0063021D"/>
    <w:rsid w:val="006538D1"/>
    <w:rsid w:val="00657AAE"/>
    <w:rsid w:val="00661069"/>
    <w:rsid w:val="006642AA"/>
    <w:rsid w:val="006918E8"/>
    <w:rsid w:val="0069318F"/>
    <w:rsid w:val="006B3B86"/>
    <w:rsid w:val="006C5111"/>
    <w:rsid w:val="006F0981"/>
    <w:rsid w:val="007115AB"/>
    <w:rsid w:val="0071572E"/>
    <w:rsid w:val="007B5598"/>
    <w:rsid w:val="007E0A40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50692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82CD7"/>
    <w:rsid w:val="00D944A1"/>
    <w:rsid w:val="00DA04B0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3</cp:revision>
  <cp:lastPrinted>2022-06-01T08:37:00Z</cp:lastPrinted>
  <dcterms:created xsi:type="dcterms:W3CDTF">2023-12-19T09:56:00Z</dcterms:created>
  <dcterms:modified xsi:type="dcterms:W3CDTF">2023-12-19T09:58:00Z</dcterms:modified>
</cp:coreProperties>
</file>